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30771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307716" w:rsidRDefault="00FE5172" w:rsidP="0030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0771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30771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307716" w:rsidRDefault="00FE5172" w:rsidP="0030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0771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307716" w:rsidTr="00203706">
        <w:trPr>
          <w:jc w:val="center"/>
        </w:trPr>
        <w:tc>
          <w:tcPr>
            <w:tcW w:w="9570" w:type="dxa"/>
            <w:gridSpan w:val="2"/>
          </w:tcPr>
          <w:p w:rsidR="00FE5172" w:rsidRPr="00307716" w:rsidRDefault="00FE5172" w:rsidP="00307716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0771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307716" w:rsidRDefault="00FE5172" w:rsidP="0030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307716" w:rsidRDefault="00FE5172" w:rsidP="0030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30771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307716" w:rsidRDefault="00FE5172" w:rsidP="0030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30771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307716" w:rsidTr="00203706">
        <w:trPr>
          <w:jc w:val="center"/>
        </w:trPr>
        <w:tc>
          <w:tcPr>
            <w:tcW w:w="9570" w:type="dxa"/>
            <w:gridSpan w:val="2"/>
          </w:tcPr>
          <w:p w:rsidR="00FE5172" w:rsidRPr="00307716" w:rsidRDefault="00FE5172" w:rsidP="0030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307716" w:rsidTr="00203706">
        <w:trPr>
          <w:jc w:val="center"/>
        </w:trPr>
        <w:tc>
          <w:tcPr>
            <w:tcW w:w="4785" w:type="dxa"/>
            <w:hideMark/>
          </w:tcPr>
          <w:p w:rsidR="00FE5172" w:rsidRPr="00307716" w:rsidRDefault="00FE5172" w:rsidP="0030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0771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B2357A" w:rsidRPr="0030771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30.</w:t>
            </w:r>
            <w:r w:rsidR="0030771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03</w:t>
            </w:r>
            <w:r w:rsidR="00B2357A" w:rsidRPr="0030771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30771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30771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307716" w:rsidRDefault="00FE5172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0771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8F5F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199</w:t>
            </w:r>
          </w:p>
        </w:tc>
      </w:tr>
      <w:bookmarkEnd w:id="0"/>
    </w:tbl>
    <w:p w:rsidR="00FE5172" w:rsidRPr="00307716" w:rsidRDefault="00FE5172" w:rsidP="00307716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FE5172" w:rsidRPr="00307716" w:rsidRDefault="00FE5172" w:rsidP="00307716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307716" w:rsidRPr="00307716" w:rsidRDefault="00307716" w:rsidP="003077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7716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Программы «Организация уличного освещения в неосвещенных населенных пунктах муниципального образования Воловский район»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В целях организации уличного освещения в неосвещенных населенных пунктах муниципального образования Воловский район,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Воловский район от 09.03.2022 № 192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1. Утвердить Программу «Организация уличного освещения в неосвещенных населенных пунктах муниципального образования Воловский район» (приложение).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Воловский район                                                            С.Ю. Пиший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307716" w:rsidRPr="00307716" w:rsidRDefault="00307716" w:rsidP="003077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07716" w:rsidRPr="00307716" w:rsidRDefault="00307716" w:rsidP="003077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307716" w:rsidRPr="00307716" w:rsidRDefault="00307716" w:rsidP="003077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307716" w:rsidRPr="00307716" w:rsidRDefault="00307716" w:rsidP="003077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30.03.2023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>199</w:t>
      </w:r>
    </w:p>
    <w:p w:rsidR="00307716" w:rsidRPr="00307716" w:rsidRDefault="00307716" w:rsidP="003077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307716" w:rsidRPr="00307716" w:rsidRDefault="00307716" w:rsidP="003077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b/>
          <w:sz w:val="24"/>
          <w:szCs w:val="24"/>
          <w:lang w:eastAsia="ru-RU"/>
        </w:rPr>
        <w:t>«Организация уличного освещения в неосвещенных населенных пунктах муниципального образования Воловский район»</w:t>
      </w:r>
    </w:p>
    <w:p w:rsidR="00307716" w:rsidRPr="00307716" w:rsidRDefault="00307716" w:rsidP="003077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b/>
          <w:sz w:val="24"/>
          <w:szCs w:val="24"/>
          <w:lang w:eastAsia="ru-RU"/>
        </w:rPr>
        <w:t>Паспорт Программы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Программы 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Программа «Организация уличного освещения в неосвещенных населенных пунктах муниципального образования Воловский район»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 для разработки Программы 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Федеральный закон от 06.10.2003 № 131-ФЗ «Об общих принципах организации местного самоуправления в Российской Федерации», постановление администрации муниципального образования Воловский район от 09.03.2022 № 192 «Об утверждении Порядка разработки, реализации и оценки эффективности муниципальных программ муниципального образования Воловский район»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Заказчик Программы 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Администрация муниципального образования Воловский район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Разработчик Программы 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Отдел ЖКХ, транспорта, строительства и архитектуры комитета по жизнеобеспечению  администрации муниципального образования Воловский район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Цель Программы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суток;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приведение сетей наружного освещения в соответствие с нормативными требованиями СНиП 23-05-10 "Естественное и искусственное освещение"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Задачи Программы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Развитие благоустройства населённых пунктов путём увеличения территории подлежащей искусственному освещению (протяжённость, количество, качество);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обеспечение надёжной работы наружного освещения, путём строительства, ремонта, реконструкции, замены существующего, физически и технически устаревшего  оборудования на современное, имеющее больший ресурс работы и надёжности;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содержание уличного освещения с одновременным  соблюдением лимита потребления электроэнергии;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внедрение энергосберегающих технологий;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уровня комфортности  проживания населения; 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создание   безопасных  условий  дорожного движения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Сроки реализации Программы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Срок реализации Программы: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- начало – 2023 г.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- окончание – 2025 г.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Программы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Общий объем финансирования Программы составляет – 1765,00 тыс. руб.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2023 год – 140,00 тыс. руб.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2024 год – 975,00 тыс. руб.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2025 год – 650,00 тыс. руб.</w:t>
      </w:r>
    </w:p>
    <w:p w:rsidR="00307716" w:rsidRPr="00307716" w:rsidRDefault="00307716" w:rsidP="003077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Целевые индикаторы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и показатели Программы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Увеличение доли освещённости улично-дорожной сети в общей протяжённости дорог сельского поселения;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увеличение протяжённости вновь построенных линий сетей наружного освещения, в том числе  выполненных самонесущим изолированным проводом;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увеличение числа установленных светильников наружного освещения, в том числе энергосберегающих ламп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конечные результаты реализации Программы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В результате реализации Программы к 2025 году   ожидается: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строительство и эксплуатация новых линий освещения;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модернизация электрических сетей поселения  с внедрением энергосберегающих технологий; 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установка осветительного оборудования в неосвещённых местах;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повышение надёжности работы осветительных сетей и снижение аварийных ситуаций на сетях наружного освещения;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снижение расходов на оплату уличного освещения за счёт комплексного энергосбережения и учёта потерь;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повышение личной безопасности людей;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улучшение потребительских свойств автомобильных дорог местного значения поселения;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повышение уровня безопасности дорожного движения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Контроль за реализацией Программы осуществляется отделом ЖКХ, транспорта, строительства и архитектуры комитета по жизнеобеспечению администрации муниципального образования Воловский район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8F5FD9" w:rsidRDefault="00307716" w:rsidP="003077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5FD9">
        <w:rPr>
          <w:rFonts w:ascii="Arial" w:eastAsia="Times New Roman" w:hAnsi="Arial" w:cs="Arial"/>
          <w:b/>
          <w:sz w:val="24"/>
          <w:szCs w:val="24"/>
          <w:lang w:eastAsia="ru-RU"/>
        </w:rPr>
        <w:t>Введение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19 части 1 статьи 14 Федерального закона №131-ФЗ от 06.10.2003 «Об общих принципах организации местного самоуправления в Российской Федерации» (далее – Закон № 131-ФЗ) в целях решения вопросов местного значения органы местного самоуправления поселения обладают полномочиями по организации благоустройства района в том числе в виде освещения территории муниципального образования.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определяет основные направления деятельности органов местного самоуправления в сфере благоустройства в виде освещения населённых пунктов.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Под благоустройством территории понимается деятельность жителей, органов местного самоуправления, организаций, объединений граждан, направленная на создание для людей максимально благоприятных, здоровых, экологичных и безопасных условий проживания в районе, обеспечение комплексного социально-экономического развития поселения, сохранение и приумножение объектов благоустройства, стимулирование внедрения энергосберегающих технологий, повышение уровня комфортности  проживания населения, снижение криминогенной обстановки, создание   безопасных  условий  дорожного движения, развития инвестиционной привлекательности района.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1. Характеристика проблемы и обоснование необходимости её решения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программно-целевым методом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Освещение населённых пунктов поселения в рамках благоустройства территории является неотъемлемым условием комфортной жизнедеятельности населения поселения. Учитывая текущее состояние освещения территории поселения, необходимо привести систему освещения в соответствие со СНиП 23-05-10 "Естественное и искусственное освещение" что подразумевает большой объем предстоящих задач и работ, решение которых требует целевого финансирования, чёткой организации, определения круга ответственных лиц, группы подрядчиков, привлечение внебюджетных источников финансирования. Выполнение данных условий возможно только в том случае, если весь объем необходимых мероприятий будет осуществляться в рамках муниципальной долгосрочной целевой программы. 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подготовлена на основе анализа существующего технического состояния и уровня физического износа сетей уличного освещения и сформирована с учётом анализа потребности в выполнении работ на объектах уличного освещения. 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Уличное освещение населённых пунктов в настоящее время практически везде недостаточно, находится в стадии развития, есть населённые пункты где освещение отсутствует, что не соответствует социальным и экономическим потребностям сельского населения. Восстановление сети освещения является важным элементом развития населённых пунктов. Их эффективное функционирование является необходимым условием повышения уровня и улучшения условий жизни населения.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Уличное освещение не только создаёт условия комфортного и благоприятного проживания для населения, но и обеспечивает снижение уровня преступности в муниципальном образовании, повышает активность населения в соблюдении и обеспечении порядка на территории поселения, повышает доверие населения 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органам местной власти, реализацию полномочий на местном уровне силами поселения.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На основании вышеизложенного и в целях обеспечения решения вопроса местного значения поселения, предусмотренных Законом № 131-ФЗ «Об общих принципах организации местного самоуправления в Российской Федерации», благоустройство муниципального образования Воловский район должно осуществляться с использованием программно-целевого метода.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2. Цели и задачи Программы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является: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приведение сетей наружного освещения в соответствие с нормативными требованиями СНиП 23-05-10 "Естественное и искусственное освещение".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Задачами Программы являются: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Развитие благоустройства населённых пунктов путём увеличения территории подлежащей искусственному освещению (протяжённость, количество, качество);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обеспечение надёжной работы наружного освещения, путём строительства, ремонта, реконструкции, замены существующего, физически и технически устаревшего  оборудования на современное, имеющее больший ресурс работы и надёжности;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содержание уличного освещения с одновременным  соблюдением лимита потребления электроэнергии;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внедрение энергосберегающих технологий;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уровня комфортности  проживания населения; 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создание   безопасных  условий  дорожного движения.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3. Перечень мероприятий Программы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Программа включает в себя следующие мероприятия: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обследование территории подлежащей освещению для конкретизации потребности;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обеспечение финансирования объекта освещения;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формирование пакета необходимых документов для начала процедуры;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заявка на технологическое подключение объекта к электросетям;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получение технических условий на подключение;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изготовление проектно-сметной документации для уличного освещения;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заключение договора с подрядной организацией определяемой конкурсными методами в соответствии с Федеральным Законом от 5 апреля 2013 года № 44-ФЗ, 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реализация проекта силами подрядной организации;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приём объекта освещения по результатам проведённых работ.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Средства по мероприятиям Программы распределены согласно раздела 5 настоящей Программы.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4. Сроки реализации Программы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течение 2023-2025 годах.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5. Объем финансирования Программы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Средства по мероприятиям Программы распределены согласно объёмов финансирования: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2023 год – 140,00 тыс. руб.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2024 год – 975,00 тыс. руб.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2025 год – 650,00 тыс. руб.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Объём финансирования по мероприятиям муниципальной программы являются прогнозными и подлежат уточнению в соответствии с действующим законодательством и выделенными расходными обязательствами в соответствии с бюджетом.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6. Привлечение финансовых ресурсов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Финансирование Программы планируется осуществлять за счёт бюджета МО Турдейское и МО Двориковское, допускается привлечение средств из внебюджетных источников, иных источников, разрешённых законодательством Российской Федерации.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7. Механизм контроля за реализацией Программы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реализацией Программы осуществляется отделом ЖКХ, транспорта, строительства и архитектуры комитета по жизнеобеспечению администрации муниципального образования Воловский район, который обеспечивает: 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1) осуществляет общую координацию и мониторинг работы в рамках Программы; 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2) разрабатывает методические материалы для исполнителей мероприятий Программы.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8. Оценка социально-экономической эффективности Программы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Программы к 2025 году   ожидается: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строительство и эксплуатация новых линий освещения;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модернизация электрических сетей поселения  с внедрением энергосберегающих технологий; 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установка осветительного оборудования в неосвещённых местах;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повышение надёжности работы осветительных сетей и снижение аварийных ситуаций на сетях наружного освещения;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снижение расходов на оплату уличного освещения за счёт комплексного энергосбережения и учёта потерь;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повышение личной безопасности людей;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улучшение потребительских свойств автомобильных дорог местного значения поселения;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уровня безопасности дорожного движения. 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ПРОГРАММНЫЕ МЕРОПРИЯТИЯ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организации уличного освещения в неосвещенных населенных пунктах муниципального образования Воловский район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Муниципальное образование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Населенный пункт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Год реализации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Количество светильников, шт.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Силовой кабель, п.м.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Количество опор, шт.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Объем финансирования, тыс. руб.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МО Турдейское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д. Дубровка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2023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4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500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С разрешения Воловский районных электрических сетей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140,00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МО Турдейское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д. Свистовка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2024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4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500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С разрешения Воловский районных электрических сетей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250,00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МО Двориковское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с. Непрядва 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(ул. Главная)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2024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3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600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16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390,00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МО Двориковское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с. Верхоупье 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(ул. Южная)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2024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3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600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14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335,00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МО Турдейское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д. Солодилово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2025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3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400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С разрешения Воловский районных электрических сетей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200,00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МО Двориковское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д. Красный Холм </w:t>
      </w:r>
    </w:p>
    <w:p w:rsidR="00307716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(ул. Школьная)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2025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2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855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19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450,00</w:t>
      </w:r>
    </w:p>
    <w:p w:rsidR="004052A2" w:rsidRPr="00307716" w:rsidRDefault="00307716" w:rsidP="00307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716">
        <w:rPr>
          <w:rFonts w:ascii="Arial" w:eastAsia="Times New Roman" w:hAnsi="Arial" w:cs="Arial"/>
          <w:sz w:val="24"/>
          <w:szCs w:val="24"/>
          <w:lang w:eastAsia="ru-RU"/>
        </w:rPr>
        <w:t>ИТОГО</w:t>
      </w:r>
      <w:r w:rsidRPr="00307716">
        <w:rPr>
          <w:rFonts w:ascii="Arial" w:eastAsia="Times New Roman" w:hAnsi="Arial" w:cs="Arial"/>
          <w:sz w:val="24"/>
          <w:szCs w:val="24"/>
          <w:lang w:eastAsia="ru-RU"/>
        </w:rPr>
        <w:tab/>
        <w:t>1765,00</w:t>
      </w:r>
    </w:p>
    <w:sectPr w:rsidR="004052A2" w:rsidRPr="00307716" w:rsidSect="008F5FD9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81" w:rsidRDefault="00790A81">
      <w:pPr>
        <w:spacing w:after="0" w:line="240" w:lineRule="auto"/>
      </w:pPr>
      <w:r>
        <w:separator/>
      </w:r>
    </w:p>
  </w:endnote>
  <w:endnote w:type="continuationSeparator" w:id="0">
    <w:p w:rsidR="00790A81" w:rsidRDefault="0079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81" w:rsidRDefault="00790A81">
      <w:pPr>
        <w:spacing w:after="0" w:line="240" w:lineRule="auto"/>
      </w:pPr>
      <w:r>
        <w:separator/>
      </w:r>
    </w:p>
  </w:footnote>
  <w:footnote w:type="continuationSeparator" w:id="0">
    <w:p w:rsidR="00790A81" w:rsidRDefault="0079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535085"/>
      <w:docPartObj>
        <w:docPartGallery w:val="Page Numbers (Top of Page)"/>
        <w:docPartUnique/>
      </w:docPartObj>
    </w:sdtPr>
    <w:sdtEndPr/>
    <w:sdtContent>
      <w:p w:rsidR="008F5FD9" w:rsidRDefault="008F5F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1B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07716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745E1B"/>
    <w:rsid w:val="00790A81"/>
    <w:rsid w:val="008F5FD9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DD6B04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2023-04-03T14:38:00Z</cp:lastPrinted>
  <dcterms:created xsi:type="dcterms:W3CDTF">2023-04-06T13:52:00Z</dcterms:created>
  <dcterms:modified xsi:type="dcterms:W3CDTF">2023-04-06T13:52:00Z</dcterms:modified>
</cp:coreProperties>
</file>