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7EF" w:rsidRPr="009317EF" w:rsidRDefault="009317EF" w:rsidP="009317EF">
      <w:pPr>
        <w:jc w:val="center"/>
        <w:rPr>
          <w:lang w:bidi="ru-RU"/>
        </w:rPr>
      </w:pPr>
      <w:r w:rsidRPr="009317EF">
        <w:rPr>
          <w:lang w:bidi="ru-RU"/>
        </w:rPr>
        <w:t>Паспорт муниципальной программы</w:t>
      </w:r>
    </w:p>
    <w:p w:rsidR="009317EF" w:rsidRPr="009317EF" w:rsidRDefault="009317EF" w:rsidP="009317EF">
      <w:pPr>
        <w:jc w:val="center"/>
        <w:rPr>
          <w:lang w:bidi="ru-RU"/>
        </w:rPr>
      </w:pPr>
      <w:r w:rsidRPr="009317EF">
        <w:rPr>
          <w:lang w:bidi="ru-RU"/>
        </w:rPr>
        <w:t>«Формирование законопослушного поведения участников дорожного движения</w:t>
      </w:r>
    </w:p>
    <w:p w:rsidR="009317EF" w:rsidRPr="009317EF" w:rsidRDefault="009317EF" w:rsidP="009317EF">
      <w:pPr>
        <w:jc w:val="center"/>
        <w:rPr>
          <w:lang w:bidi="ru-RU"/>
        </w:rPr>
      </w:pPr>
      <w:r w:rsidRPr="009317EF">
        <w:rPr>
          <w:lang w:bidi="ru-RU"/>
        </w:rPr>
        <w:t>В</w:t>
      </w:r>
      <w:r>
        <w:rPr>
          <w:lang w:bidi="ru-RU"/>
        </w:rPr>
        <w:t xml:space="preserve"> </w:t>
      </w:r>
      <w:r w:rsidRPr="009317EF">
        <w:rPr>
          <w:lang w:bidi="ru-RU"/>
        </w:rPr>
        <w:t xml:space="preserve">муниципальном образовании </w:t>
      </w:r>
      <w:proofErr w:type="spellStart"/>
      <w:r w:rsidRPr="009317EF">
        <w:rPr>
          <w:lang w:bidi="ru-RU"/>
        </w:rPr>
        <w:t>Воловский</w:t>
      </w:r>
      <w:proofErr w:type="spellEnd"/>
      <w:r w:rsidRPr="009317EF">
        <w:rPr>
          <w:lang w:bidi="ru-RU"/>
        </w:rPr>
        <w:t xml:space="preserve"> район»</w:t>
      </w:r>
    </w:p>
    <w:p w:rsidR="009317EF" w:rsidRPr="009317EF" w:rsidRDefault="009317EF" w:rsidP="009317EF">
      <w:pPr>
        <w:rPr>
          <w:lang w:bidi="ru-RU"/>
        </w:rPr>
      </w:pPr>
    </w:p>
    <w:tbl>
      <w:tblPr>
        <w:tblOverlap w:val="never"/>
        <w:tblW w:w="15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2"/>
        <w:gridCol w:w="12459"/>
      </w:tblGrid>
      <w:tr w:rsidR="009317EF" w:rsidRPr="009317EF" w:rsidTr="00ED0C2E">
        <w:trPr>
          <w:jc w:val="center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Ответственный исполнитель муниципальной программы</w:t>
            </w:r>
          </w:p>
        </w:tc>
        <w:tc>
          <w:tcPr>
            <w:tcW w:w="1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 xml:space="preserve">Комитет образования администрации муниципального образования </w:t>
            </w:r>
            <w:proofErr w:type="spellStart"/>
            <w:r w:rsidRPr="009317EF">
              <w:rPr>
                <w:lang w:bidi="ru-RU"/>
              </w:rPr>
              <w:t>Воловский</w:t>
            </w:r>
            <w:proofErr w:type="spellEnd"/>
            <w:r w:rsidRPr="009317EF">
              <w:rPr>
                <w:lang w:bidi="ru-RU"/>
              </w:rPr>
              <w:t xml:space="preserve"> район.</w:t>
            </w:r>
          </w:p>
          <w:p w:rsidR="009317EF" w:rsidRPr="009317EF" w:rsidRDefault="009317EF" w:rsidP="009317EF">
            <w:pPr>
              <w:rPr>
                <w:lang w:bidi="ru-RU"/>
              </w:rPr>
            </w:pPr>
          </w:p>
        </w:tc>
      </w:tr>
      <w:tr w:rsidR="009317EF" w:rsidRPr="009317EF" w:rsidTr="00ED0C2E">
        <w:trPr>
          <w:jc w:val="center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Соисполнители муниципальной программы</w:t>
            </w:r>
          </w:p>
        </w:tc>
        <w:tc>
          <w:tcPr>
            <w:tcW w:w="1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Отсутствуют</w:t>
            </w:r>
          </w:p>
        </w:tc>
      </w:tr>
      <w:tr w:rsidR="009317EF" w:rsidRPr="009317EF" w:rsidTr="00ED0C2E">
        <w:trPr>
          <w:jc w:val="center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Исполнители муниципальной программы</w:t>
            </w:r>
          </w:p>
        </w:tc>
        <w:tc>
          <w:tcPr>
            <w:tcW w:w="1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 xml:space="preserve">Комитет образования администрации муниципального образования </w:t>
            </w:r>
            <w:proofErr w:type="spellStart"/>
            <w:r w:rsidRPr="009317EF">
              <w:rPr>
                <w:lang w:bidi="ru-RU"/>
              </w:rPr>
              <w:t>Воловский</w:t>
            </w:r>
            <w:proofErr w:type="spellEnd"/>
            <w:r w:rsidRPr="009317EF">
              <w:rPr>
                <w:lang w:bidi="ru-RU"/>
              </w:rPr>
              <w:t xml:space="preserve"> район (далее - комитет образования)</w:t>
            </w:r>
          </w:p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 xml:space="preserve">Сектор по культуре, спорту и молодежной политике  администрации муниципального образования </w:t>
            </w:r>
            <w:proofErr w:type="spellStart"/>
            <w:r w:rsidRPr="009317EF">
              <w:rPr>
                <w:lang w:bidi="ru-RU"/>
              </w:rPr>
              <w:t>Воловский</w:t>
            </w:r>
            <w:proofErr w:type="spellEnd"/>
            <w:r w:rsidRPr="009317EF">
              <w:rPr>
                <w:lang w:bidi="ru-RU"/>
              </w:rPr>
              <w:t xml:space="preserve"> район (далее - сектор по культуре, спорту и молодежной политике)</w:t>
            </w:r>
          </w:p>
        </w:tc>
      </w:tr>
      <w:tr w:rsidR="009317EF" w:rsidRPr="009317EF" w:rsidTr="00ED0C2E">
        <w:trPr>
          <w:jc w:val="center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Подпрограммы муниципальной программы</w:t>
            </w:r>
          </w:p>
        </w:tc>
        <w:tc>
          <w:tcPr>
            <w:tcW w:w="1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Отсутствуют</w:t>
            </w:r>
          </w:p>
        </w:tc>
      </w:tr>
      <w:tr w:rsidR="009317EF" w:rsidRPr="009317EF" w:rsidTr="00ED0C2E">
        <w:trPr>
          <w:jc w:val="center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 xml:space="preserve">Цели </w:t>
            </w:r>
            <w:proofErr w:type="spellStart"/>
            <w:r w:rsidRPr="009317EF">
              <w:rPr>
                <w:lang w:bidi="ru-RU"/>
              </w:rPr>
              <w:t>муниципальнойпрограммы</w:t>
            </w:r>
            <w:proofErr w:type="spellEnd"/>
          </w:p>
        </w:tc>
        <w:tc>
          <w:tcPr>
            <w:tcW w:w="1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Повышение уровня правового воспитания участников дорожного движения, культуры их поведения; профилактика дорожн</w:t>
            </w:r>
            <w:proofErr w:type="gramStart"/>
            <w:r w:rsidRPr="009317EF">
              <w:rPr>
                <w:lang w:bidi="ru-RU"/>
              </w:rPr>
              <w:t>о-</w:t>
            </w:r>
            <w:proofErr w:type="gramEnd"/>
            <w:r w:rsidRPr="009317EF">
              <w:rPr>
                <w:lang w:bidi="ru-RU"/>
              </w:rPr>
              <w:t xml:space="preserve"> транспортного травматизма в муниципальном образовании </w:t>
            </w:r>
            <w:proofErr w:type="spellStart"/>
            <w:r w:rsidRPr="009317EF">
              <w:rPr>
                <w:lang w:bidi="ru-RU"/>
              </w:rPr>
              <w:t>Воловский</w:t>
            </w:r>
            <w:proofErr w:type="spellEnd"/>
            <w:r w:rsidRPr="009317EF">
              <w:rPr>
                <w:lang w:bidi="ru-RU"/>
              </w:rPr>
              <w:t xml:space="preserve"> район (далее - муниципальное образование)</w:t>
            </w:r>
          </w:p>
        </w:tc>
      </w:tr>
    </w:tbl>
    <w:p w:rsidR="009317EF" w:rsidRPr="009317EF" w:rsidRDefault="009317EF" w:rsidP="009317EF">
      <w:pPr>
        <w:rPr>
          <w:lang w:bidi="ru-RU"/>
        </w:rPr>
      </w:pPr>
    </w:p>
    <w:tbl>
      <w:tblPr>
        <w:tblOverlap w:val="never"/>
        <w:tblW w:w="1549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7"/>
        <w:gridCol w:w="533"/>
        <w:gridCol w:w="5755"/>
        <w:gridCol w:w="859"/>
        <w:gridCol w:w="1224"/>
        <w:gridCol w:w="1214"/>
        <w:gridCol w:w="1426"/>
        <w:gridCol w:w="1426"/>
        <w:gridCol w:w="1320"/>
      </w:tblGrid>
      <w:tr w:rsidR="009317EF" w:rsidRPr="009317EF" w:rsidTr="00ED0C2E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 xml:space="preserve">Задачи </w:t>
            </w:r>
            <w:proofErr w:type="spellStart"/>
            <w:r w:rsidRPr="009317EF">
              <w:rPr>
                <w:lang w:bidi="ru-RU"/>
              </w:rPr>
              <w:t>муниципальнойпрограммы</w:t>
            </w:r>
            <w:proofErr w:type="spellEnd"/>
          </w:p>
        </w:tc>
        <w:tc>
          <w:tcPr>
            <w:tcW w:w="1375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proofErr w:type="gramStart"/>
            <w:r w:rsidRPr="009317EF">
              <w:rPr>
                <w:lang w:bidi="ru-RU"/>
              </w:rPr>
              <w:t>Формирование знаний у водителей и пешеходов по безопасному дорожному движению, формирование у детей навыков безопасного поведения на дорогах, организация работы по профилактике дорожно-транспортного травматизма среди детей дошкольного и школьного возраста, изменение общественного отношения к проблемам безопасности дорожного движения, совершенствование практики проведения информационно-разъяснительной работы, осуществляемой средствами массовой информации, с целью изменения поведения участников дорожного движения, формирования в общественном сознании негативного отношения</w:t>
            </w:r>
            <w:proofErr w:type="gramEnd"/>
            <w:r w:rsidRPr="009317EF">
              <w:rPr>
                <w:lang w:bidi="ru-RU"/>
              </w:rPr>
              <w:t xml:space="preserve"> к нарушителям правил дорожного движения и фактам агрессивного поведения на дороге, развития принципов сотрудничества, взаимного доверия и взаимопомощи между участниками дорожного </w:t>
            </w:r>
            <w:r w:rsidRPr="009317EF">
              <w:rPr>
                <w:lang w:bidi="ru-RU"/>
              </w:rPr>
              <w:lastRenderedPageBreak/>
              <w:t>движения</w:t>
            </w:r>
          </w:p>
        </w:tc>
      </w:tr>
      <w:tr w:rsidR="009317EF" w:rsidRPr="009317EF" w:rsidTr="00ED0C2E">
        <w:trPr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lastRenderedPageBreak/>
              <w:t>Конечные результаты муниципальной программы (показатели (индикаторы) муниципальной программы)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№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Наименование конечного результата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Ед.</w:t>
            </w:r>
          </w:p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изм.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2022</w:t>
            </w:r>
          </w:p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(прогноз)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2026</w:t>
            </w:r>
          </w:p>
        </w:tc>
      </w:tr>
      <w:tr w:rsidR="009317EF" w:rsidRPr="009317EF" w:rsidTr="00ED0C2E">
        <w:trPr>
          <w:jc w:val="center"/>
        </w:trPr>
        <w:tc>
          <w:tcPr>
            <w:tcW w:w="17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Доля детей дошкольного и школьного возраста, участвующих в мероприятиях по профилактике дорожн</w:t>
            </w:r>
            <w:proofErr w:type="gramStart"/>
            <w:r w:rsidRPr="009317EF">
              <w:rPr>
                <w:lang w:bidi="ru-RU"/>
              </w:rPr>
              <w:t>о-</w:t>
            </w:r>
            <w:proofErr w:type="gramEnd"/>
            <w:r w:rsidRPr="009317EF">
              <w:rPr>
                <w:lang w:bidi="ru-RU"/>
              </w:rPr>
              <w:t xml:space="preserve"> транспортных происшествий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87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90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92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95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100</w:t>
            </w:r>
          </w:p>
        </w:tc>
      </w:tr>
      <w:tr w:rsidR="009317EF" w:rsidRPr="009317EF" w:rsidTr="00ED0C2E">
        <w:trPr>
          <w:jc w:val="center"/>
        </w:trPr>
        <w:tc>
          <w:tcPr>
            <w:tcW w:w="17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Приобретение и размещение плакатов по тематике безопасности дорожного движения  в рамках социальной рекламы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шт.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</w:t>
            </w:r>
          </w:p>
        </w:tc>
      </w:tr>
      <w:tr w:rsidR="009317EF" w:rsidRPr="009317EF" w:rsidTr="00ED0C2E">
        <w:trPr>
          <w:jc w:val="center"/>
        </w:trPr>
        <w:tc>
          <w:tcPr>
            <w:tcW w:w="17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Приобретение и размещение информационных материалов по безопасности дорожного движения: памяток в местах массового пребывания граждан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шт.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500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500</w:t>
            </w:r>
          </w:p>
        </w:tc>
      </w:tr>
      <w:tr w:rsidR="009317EF" w:rsidRPr="009317EF" w:rsidTr="00ED0C2E">
        <w:trPr>
          <w:jc w:val="center"/>
        </w:trPr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Приобретение оборудования и средств обучения безопасному поведению детей на дорогах (стенды, уголки по правилам дорожного движения, магнитные доски, обучающие игры)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шт.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10</w:t>
            </w:r>
          </w:p>
        </w:tc>
      </w:tr>
    </w:tbl>
    <w:p w:rsidR="009317EF" w:rsidRPr="009317EF" w:rsidRDefault="009317EF" w:rsidP="009317EF">
      <w:pPr>
        <w:rPr>
          <w:lang w:bidi="ru-RU"/>
        </w:rPr>
      </w:pPr>
    </w:p>
    <w:tbl>
      <w:tblPr>
        <w:tblOverlap w:val="never"/>
        <w:tblW w:w="154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2018"/>
        <w:gridCol w:w="1877"/>
        <w:gridCol w:w="115"/>
        <w:gridCol w:w="1445"/>
        <w:gridCol w:w="1701"/>
        <w:gridCol w:w="1559"/>
        <w:gridCol w:w="1701"/>
        <w:gridCol w:w="1777"/>
        <w:gridCol w:w="7"/>
        <w:gridCol w:w="1728"/>
      </w:tblGrid>
      <w:tr w:rsidR="009317EF" w:rsidRPr="009317EF" w:rsidTr="00ED0C2E">
        <w:trPr>
          <w:jc w:val="center"/>
        </w:trPr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Этапы и сроки реализации муниципальной программы</w:t>
            </w:r>
          </w:p>
        </w:tc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этап-2022г.</w:t>
            </w:r>
          </w:p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этап - 2023г.</w:t>
            </w:r>
          </w:p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этап - 2024г.</w:t>
            </w:r>
          </w:p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этап - 2025г.</w:t>
            </w:r>
          </w:p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lastRenderedPageBreak/>
              <w:t>этап - 2026г.</w:t>
            </w:r>
          </w:p>
        </w:tc>
        <w:tc>
          <w:tcPr>
            <w:tcW w:w="115" w:type="dxa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314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</w:tr>
      <w:tr w:rsidR="009317EF" w:rsidRPr="009317EF" w:rsidTr="00ED0C2E">
        <w:trPr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lastRenderedPageBreak/>
              <w:t>Наименование муниципальной программы муниципальной программы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 xml:space="preserve">«Формирование законопослушного поведения участников дорожного движения в муниципальном образовании </w:t>
            </w:r>
            <w:proofErr w:type="spellStart"/>
            <w:r w:rsidRPr="009317EF">
              <w:rPr>
                <w:lang w:bidi="ru-RU"/>
              </w:rPr>
              <w:t>Воловский</w:t>
            </w:r>
            <w:proofErr w:type="spellEnd"/>
            <w:r w:rsidRPr="009317EF">
              <w:rPr>
                <w:lang w:bidi="ru-RU"/>
              </w:rPr>
              <w:t xml:space="preserve"> район»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Источник финансирования (источник поступления денежных средств)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Расходы (</w:t>
            </w:r>
            <w:r w:rsidR="001778C5">
              <w:rPr>
                <w:lang w:bidi="ru-RU"/>
              </w:rPr>
              <w:t>тыс.</w:t>
            </w:r>
            <w:bookmarkStart w:id="0" w:name="_GoBack"/>
            <w:bookmarkEnd w:id="0"/>
            <w:r w:rsidRPr="009317EF">
              <w:rPr>
                <w:lang w:bidi="ru-RU"/>
              </w:rPr>
              <w:t>руб.)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</w:tr>
      <w:tr w:rsidR="009317EF" w:rsidRPr="009317EF" w:rsidTr="00ED0C2E">
        <w:trPr>
          <w:jc w:val="center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2025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2026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Итого</w:t>
            </w:r>
          </w:p>
        </w:tc>
      </w:tr>
      <w:tr w:rsidR="009317EF" w:rsidRPr="009317EF" w:rsidTr="00ED0C2E">
        <w:trPr>
          <w:jc w:val="center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Всего: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181,9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181,9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181,9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945,7</w:t>
            </w:r>
          </w:p>
        </w:tc>
      </w:tr>
      <w:tr w:rsidR="009317EF" w:rsidRPr="009317EF" w:rsidTr="00ED0C2E">
        <w:trPr>
          <w:jc w:val="center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Федеральный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-</w:t>
            </w:r>
          </w:p>
        </w:tc>
      </w:tr>
      <w:tr w:rsidR="009317EF" w:rsidRPr="009317EF" w:rsidTr="003D4365">
        <w:trPr>
          <w:trHeight w:val="896"/>
          <w:jc w:val="center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Бюджет Тульской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-</w:t>
            </w:r>
          </w:p>
        </w:tc>
      </w:tr>
      <w:tr w:rsidR="009317EF" w:rsidRPr="009317EF" w:rsidTr="00ED0C2E">
        <w:trPr>
          <w:jc w:val="center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181,9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181,9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181,9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945,7</w:t>
            </w:r>
          </w:p>
        </w:tc>
      </w:tr>
      <w:tr w:rsidR="009317EF" w:rsidRPr="009317EF" w:rsidTr="00ED0C2E">
        <w:trPr>
          <w:jc w:val="center"/>
        </w:trPr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Внебюджетные фонды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3D4365" w:rsidP="009317EF">
            <w:pPr>
              <w:rPr>
                <w:lang w:bidi="ru-RU"/>
              </w:rPr>
            </w:pPr>
            <w:r>
              <w:rPr>
                <w:lang w:bidi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7EF" w:rsidRPr="009317EF" w:rsidRDefault="009317EF" w:rsidP="009317EF">
            <w:pPr>
              <w:rPr>
                <w:lang w:bidi="ru-RU"/>
              </w:rPr>
            </w:pPr>
            <w:r w:rsidRPr="009317EF">
              <w:rPr>
                <w:lang w:bidi="ru-RU"/>
              </w:rPr>
              <w:t>-</w:t>
            </w:r>
          </w:p>
        </w:tc>
      </w:tr>
    </w:tbl>
    <w:p w:rsidR="005453DE" w:rsidRDefault="005453DE"/>
    <w:sectPr w:rsidR="005453DE" w:rsidSect="009317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317EF"/>
    <w:rsid w:val="001778C5"/>
    <w:rsid w:val="003D4365"/>
    <w:rsid w:val="005453DE"/>
    <w:rsid w:val="0093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472</Words>
  <Characters>2697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fu-3</dc:creator>
  <cp:keywords/>
  <dc:description/>
  <cp:lastModifiedBy>User</cp:lastModifiedBy>
  <cp:revision>4</cp:revision>
  <dcterms:created xsi:type="dcterms:W3CDTF">2022-11-15T07:03:00Z</dcterms:created>
  <dcterms:modified xsi:type="dcterms:W3CDTF">2023-11-09T08:34:00Z</dcterms:modified>
</cp:coreProperties>
</file>