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Статья  27.</w:t>
      </w:r>
      <w:r w:rsidRPr="00AD184A">
        <w:rPr>
          <w:b/>
          <w:bCs/>
          <w:color w:val="212121"/>
          <w:sz w:val="28"/>
          <w:szCs w:val="28"/>
        </w:rPr>
        <w:t> Собрание депутатов муниципального образования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000000"/>
          <w:sz w:val="28"/>
          <w:szCs w:val="28"/>
        </w:rPr>
        <w:t>1. Собрание депутатов муниципального образования состоит из 10 депутатов, избираемых на муниципальных выборах на основе всеобщего равного и прямого избирательного права при тайном голосовании на первый созыв сроком на 2 года, последующие созывы сроком на 5 лет.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000000"/>
          <w:sz w:val="28"/>
          <w:szCs w:val="28"/>
        </w:rPr>
        <w:t>2. Собрание депутатов муниципального образования обладает правами юридического лица.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000000"/>
          <w:sz w:val="28"/>
          <w:szCs w:val="28"/>
        </w:rPr>
        <w:t xml:space="preserve">2.1. </w:t>
      </w:r>
      <w:proofErr w:type="gramStart"/>
      <w:r w:rsidRPr="00AD184A">
        <w:rPr>
          <w:color w:val="000000"/>
          <w:sz w:val="28"/>
          <w:szCs w:val="28"/>
        </w:rPr>
        <w:t xml:space="preserve">Собрание депутатов муниципального образования </w:t>
      </w:r>
      <w:proofErr w:type="spellStart"/>
      <w:r w:rsidRPr="00AD184A">
        <w:rPr>
          <w:color w:val="000000"/>
          <w:sz w:val="28"/>
          <w:szCs w:val="28"/>
        </w:rPr>
        <w:t>Турдейское</w:t>
      </w:r>
      <w:proofErr w:type="spellEnd"/>
      <w:r w:rsidRPr="00AD184A">
        <w:rPr>
          <w:color w:val="000000"/>
          <w:sz w:val="28"/>
          <w:szCs w:val="28"/>
        </w:rPr>
        <w:t xml:space="preserve"> </w:t>
      </w:r>
      <w:proofErr w:type="spellStart"/>
      <w:r w:rsidRPr="00AD184A">
        <w:rPr>
          <w:color w:val="000000"/>
          <w:sz w:val="28"/>
          <w:szCs w:val="28"/>
        </w:rPr>
        <w:t>Воловского</w:t>
      </w:r>
      <w:proofErr w:type="spellEnd"/>
      <w:r w:rsidRPr="00AD184A">
        <w:rPr>
          <w:color w:val="000000"/>
          <w:sz w:val="28"/>
          <w:szCs w:val="28"/>
        </w:rPr>
        <w:t xml:space="preserve"> района в целях формирования Собрания представителей муниципального образования Воловский район делегирует главу муниципального образования, а также депутатов Собрания депутатов, избираемых из своего состава в соответствии с равной независимо от численности населения поселения нормой представительства, определенной уставом муниципального образования Воловский район.</w:t>
      </w:r>
      <w:proofErr w:type="gramEnd"/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3.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Заседание Собрания депутатов муниципального образования не может считаться правомочным, если на нем присутствует менее 50 процентов от числа избранных депутатов. Заседания Собрания депутатов муниципального образования проводятся не реже одного раза в три месяца.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Вновь избранное Собрание депутатов муниципального образования собирается на первое заседание в срок, который не может превышать 30 дней со дня избрания Собрания депутатов муниципального образования в правомочном составе. Первое заседание открывает и ведет старейший по возрасту депутат.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4.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5. Собрание депутатов муниципального образования подотчётно и подконтрольно населению муниципального образования.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br/>
      </w:r>
    </w:p>
    <w:p w:rsid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lastRenderedPageBreak/>
        <w:t>Статья 28.</w:t>
      </w:r>
      <w:r w:rsidRPr="00AD184A">
        <w:rPr>
          <w:b/>
          <w:bCs/>
          <w:color w:val="212121"/>
          <w:sz w:val="28"/>
          <w:szCs w:val="28"/>
        </w:rPr>
        <w:t> Структура Собрания депутатов муниципального образования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 xml:space="preserve">1. Собрание депутатов муниципального образования большинством голосов от числа избранных депутатов избирает тайным голосованием главу муниципального образования, </w:t>
      </w:r>
      <w:proofErr w:type="gramStart"/>
      <w:r w:rsidRPr="00AD184A">
        <w:rPr>
          <w:color w:val="212121"/>
          <w:sz w:val="28"/>
          <w:szCs w:val="28"/>
        </w:rPr>
        <w:t>который</w:t>
      </w:r>
      <w:proofErr w:type="gramEnd"/>
      <w:r w:rsidRPr="00AD184A">
        <w:rPr>
          <w:color w:val="212121"/>
          <w:sz w:val="28"/>
          <w:szCs w:val="28"/>
        </w:rPr>
        <w:t xml:space="preserve"> исполняет полномочия председателя Собрания депутатов муниципального образования.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000000"/>
          <w:sz w:val="28"/>
          <w:szCs w:val="28"/>
        </w:rPr>
        <w:t>2.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000000"/>
          <w:sz w:val="28"/>
          <w:szCs w:val="28"/>
        </w:rPr>
        <w:t>3. Собрание депутатов муниципального образования принимает регламент, регулирующий вопросы организации и деятельности Собрания депутатов муниципального образования, а также порядок принятия решений Собранием муниципального образования.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000000"/>
          <w:sz w:val="28"/>
          <w:szCs w:val="28"/>
        </w:rPr>
        <w:t xml:space="preserve">4. 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образования, осуществляющий свои полномочия на непостоянной основе. Порядок </w:t>
      </w:r>
      <w:proofErr w:type="gramStart"/>
      <w:r w:rsidRPr="00AD184A">
        <w:rPr>
          <w:color w:val="000000"/>
          <w:sz w:val="28"/>
          <w:szCs w:val="28"/>
        </w:rPr>
        <w:t>избрания заместителя председателя Собрания депутатов муниципального образования</w:t>
      </w:r>
      <w:proofErr w:type="gramEnd"/>
      <w:r w:rsidRPr="00AD184A">
        <w:rPr>
          <w:color w:val="000000"/>
          <w:sz w:val="28"/>
          <w:szCs w:val="28"/>
        </w:rPr>
        <w:t xml:space="preserve"> определяется регламентом Собрания депутатов муниципального образования.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5. Из числа депутатов Собрания депутатов муниципального образования на срок его полномочий могут создаваться постоянные комиссии по вопросам, отнесенным к компетенции Собрания депутатов муниципального образования.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Собрание депутатов муниципального образования в целях осуществления контроля вправе создавать временные комиссии с привлечением общественности.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Структура, порядок формирования, полномочия и организация работы комиссий определяются регламентом Собрания депутатов муниципального образования.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br/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Статья 29</w:t>
      </w:r>
      <w:r w:rsidRPr="00AD184A">
        <w:rPr>
          <w:b/>
          <w:bCs/>
          <w:color w:val="212121"/>
          <w:sz w:val="28"/>
          <w:szCs w:val="28"/>
        </w:rPr>
        <w:t>. Компетенция Собрания депутатов муниципального образования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1. В исключительной компетенции Собрания депутатов муниципального образования находятся: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lastRenderedPageBreak/>
        <w:t>1) принятие устава муниципального образования и внесение в него изменений и дополнений;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2) утверждение местного бюджета и отчета о его исполнении;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4) принятие планов и программ развития муниципального образования, утверждение отчетов об их исполнения;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8) определение порядка материально - технического и организационного обеспечения деятельности органов местного самоуправления;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 xml:space="preserve">9) </w:t>
      </w:r>
      <w:proofErr w:type="gramStart"/>
      <w:r w:rsidRPr="00AD184A">
        <w:rPr>
          <w:color w:val="212121"/>
          <w:sz w:val="28"/>
          <w:szCs w:val="28"/>
        </w:rPr>
        <w:t>контроль за</w:t>
      </w:r>
      <w:proofErr w:type="gramEnd"/>
      <w:r w:rsidRPr="00AD184A">
        <w:rPr>
          <w:color w:val="212121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10) принятие решения об удалении главы муниципального образования в отставку.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2. К иным полномочиям Собрания депутатов муниципального образования относятся: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1) утверждение по представлению главы муниципального образования структуры администрации муниципального образования;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2) принятие решений о назначении местного референдума и муниципальных выборов в соответствии с законодательством Российской Федерации;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3) формирование избирательной комиссии муниципального образования в соответствии с действующим законодательством;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lastRenderedPageBreak/>
        <w:t xml:space="preserve">4) определение порядка формирования, обеспечения размещения, исполнения и </w:t>
      </w:r>
      <w:proofErr w:type="gramStart"/>
      <w:r w:rsidRPr="00AD184A">
        <w:rPr>
          <w:color w:val="212121"/>
          <w:sz w:val="28"/>
          <w:szCs w:val="28"/>
        </w:rPr>
        <w:t>контроля за</w:t>
      </w:r>
      <w:proofErr w:type="gramEnd"/>
      <w:r w:rsidRPr="00AD184A">
        <w:rPr>
          <w:color w:val="212121"/>
          <w:sz w:val="28"/>
          <w:szCs w:val="28"/>
        </w:rPr>
        <w:t xml:space="preserve"> исполнением размещения заказов на поставки товаров, выполнение работ, оказание услуг для муниципальных нужд;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5)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6) назначение опросов граждан, а также определение порядка назначения и проведения опросов;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7) определение порядка назначения и проведения конференции граждан, избрания делегатов;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8) назначение публичных слушаний, а также определение порядка организации и проведения публичных слушаний;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9) назначение голосования по вопросам изменения границ муниципального образования, преобразования муниципального образования;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10) осуществление права законодательной инициативы в Тульской областной Думе;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11) формирование контрольной комиссии;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12) определение порядка и условий приватизации муниципального имущества в соответствии с федеральным законодательством;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13) утверждение генерального плана муниципального образования, правил землепользования и застройки, утверждение подготовленной на основе генерального плана муниципального образования документации по планировке территории, утверждение местных нормативов градостроительного проектирования муниципального образования, резервирование и изъятие, в том числе путем выкупа, земельных участков в границах муниципального образования для муниципальных нужд.</w:t>
      </w:r>
    </w:p>
    <w:p w:rsidR="00AD184A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3. Собрание депутатов муниципального образования заслушивает ежегодные отчеты главы муниципального образования о результатах его деятельности, деятельности администрации муниципального образования и иных подведомственных главе муниципального образования органов местного самоуправления, в том числе о решении вопросов, поставленных Собранием депутатов муниципального образования.</w:t>
      </w:r>
    </w:p>
    <w:p w:rsidR="003F5292" w:rsidRPr="00AD184A" w:rsidRDefault="00AD184A" w:rsidP="00AD184A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AD184A">
        <w:rPr>
          <w:color w:val="212121"/>
          <w:sz w:val="28"/>
          <w:szCs w:val="28"/>
        </w:rPr>
        <w:t>4. Собрание депутатов муниципального образования обладает иными полномочиями, определенными федеральными законами, законами Тульской области, настоящим Уставом.</w:t>
      </w:r>
      <w:bookmarkStart w:id="0" w:name="_GoBack"/>
      <w:bookmarkEnd w:id="0"/>
    </w:p>
    <w:sectPr w:rsidR="003F5292" w:rsidRPr="00AD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22"/>
    <w:rsid w:val="003F5292"/>
    <w:rsid w:val="00AD184A"/>
    <w:rsid w:val="00A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1107</Words>
  <Characters>6312</Characters>
  <Application>Microsoft Office Word</Application>
  <DocSecurity>0</DocSecurity>
  <Lines>52</Lines>
  <Paragraphs>14</Paragraphs>
  <ScaleCrop>false</ScaleCrop>
  <Company>*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ARM-003</dc:creator>
  <cp:keywords/>
  <dc:description/>
  <cp:lastModifiedBy>ARM-003</cp:lastModifiedBy>
  <cp:revision>3</cp:revision>
  <dcterms:created xsi:type="dcterms:W3CDTF">2024-07-17T14:55:00Z</dcterms:created>
  <dcterms:modified xsi:type="dcterms:W3CDTF">2024-07-17T14:56:00Z</dcterms:modified>
</cp:coreProperties>
</file>