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94" w:rsidRDefault="00EF6194" w:rsidP="00EF6194">
      <w:pPr>
        <w:spacing w:line="1" w:lineRule="exact"/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83.2pt;height:828pt;z-index:251658240;mso-wrap-edited:f;mso-wrap-distance-left:7in;mso-wrap-distance-top:0;mso-wrap-distance-right:7in;mso-wrap-distance-bottom:0;mso-position-horizontal-relative:margin;mso-position-vertical-relative:text" filled="f" stroked="f">
            <v:textbox inset="0,0,0,0">
              <w:txbxContent>
                <w:p w:rsidR="00EF6194" w:rsidRDefault="00EF6194" w:rsidP="00EF6194">
                  <w:r>
                    <w:rPr>
                      <w:rFonts w:ascii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 wp14:anchorId="0933DAE0" wp14:editId="256069E4">
                        <wp:extent cx="7410450" cy="105156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0" cy="1051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666BD" w:rsidRPr="001F3467" w:rsidRDefault="00D850FB" w:rsidP="001F3467">
      <w:pPr>
        <w:ind w:left="5103"/>
        <w:jc w:val="right"/>
        <w:rPr>
          <w:rFonts w:ascii="Arial" w:hAnsi="Arial" w:cs="Arial"/>
        </w:rPr>
      </w:pPr>
      <w:bookmarkStart w:id="0" w:name="_GoBack"/>
      <w:bookmarkEnd w:id="0"/>
      <w:r w:rsidRPr="001F3467">
        <w:rPr>
          <w:rFonts w:ascii="Arial" w:hAnsi="Arial" w:cs="Arial"/>
        </w:rPr>
        <w:lastRenderedPageBreak/>
        <w:t xml:space="preserve">Приложение </w:t>
      </w:r>
    </w:p>
    <w:p w:rsidR="00D850FB" w:rsidRPr="001F3467" w:rsidRDefault="00D850FB" w:rsidP="001F3467">
      <w:pPr>
        <w:ind w:left="5103"/>
        <w:jc w:val="right"/>
        <w:rPr>
          <w:rFonts w:ascii="Arial" w:hAnsi="Arial" w:cs="Arial"/>
        </w:rPr>
      </w:pPr>
      <w:r w:rsidRPr="001F3467">
        <w:rPr>
          <w:rFonts w:ascii="Arial" w:hAnsi="Arial" w:cs="Arial"/>
        </w:rPr>
        <w:t>к постановлению</w:t>
      </w:r>
      <w:r w:rsidR="000666BD" w:rsidRPr="001F3467">
        <w:rPr>
          <w:rFonts w:ascii="Arial" w:hAnsi="Arial" w:cs="Arial"/>
        </w:rPr>
        <w:t xml:space="preserve"> </w:t>
      </w:r>
      <w:r w:rsidRPr="001F3467">
        <w:rPr>
          <w:rFonts w:ascii="Arial" w:hAnsi="Arial" w:cs="Arial"/>
        </w:rPr>
        <w:t>администрации</w:t>
      </w:r>
    </w:p>
    <w:p w:rsidR="00D850FB" w:rsidRPr="001F3467" w:rsidRDefault="00D850FB" w:rsidP="001F3467">
      <w:pPr>
        <w:ind w:left="5103"/>
        <w:jc w:val="right"/>
        <w:rPr>
          <w:rFonts w:ascii="Arial" w:hAnsi="Arial" w:cs="Arial"/>
        </w:rPr>
      </w:pPr>
      <w:r w:rsidRPr="001F3467">
        <w:rPr>
          <w:rFonts w:ascii="Arial" w:hAnsi="Arial" w:cs="Arial"/>
        </w:rPr>
        <w:t>муниципального образования</w:t>
      </w:r>
    </w:p>
    <w:p w:rsidR="00D850FB" w:rsidRPr="001F3467" w:rsidRDefault="00D850FB" w:rsidP="001F3467">
      <w:pPr>
        <w:ind w:left="5103"/>
        <w:jc w:val="right"/>
        <w:rPr>
          <w:rFonts w:ascii="Arial" w:hAnsi="Arial" w:cs="Arial"/>
        </w:rPr>
      </w:pPr>
      <w:r w:rsidRPr="001F3467">
        <w:rPr>
          <w:rFonts w:ascii="Arial" w:hAnsi="Arial" w:cs="Arial"/>
        </w:rPr>
        <w:t>Воловский район</w:t>
      </w:r>
    </w:p>
    <w:p w:rsidR="00D850FB" w:rsidRPr="001F3467" w:rsidRDefault="002219A0" w:rsidP="001F3467">
      <w:pPr>
        <w:ind w:left="5103"/>
        <w:jc w:val="right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от 21.01.2019 </w:t>
      </w:r>
      <w:r w:rsidR="000666BD" w:rsidRPr="001F3467">
        <w:rPr>
          <w:rFonts w:ascii="Arial" w:hAnsi="Arial" w:cs="Arial"/>
        </w:rPr>
        <w:t>№</w:t>
      </w:r>
      <w:r w:rsidRPr="001F3467">
        <w:rPr>
          <w:rFonts w:ascii="Arial" w:hAnsi="Arial" w:cs="Arial"/>
        </w:rPr>
        <w:t xml:space="preserve"> 21</w:t>
      </w:r>
    </w:p>
    <w:p w:rsidR="00D850FB" w:rsidRPr="001F3467" w:rsidRDefault="00D850FB" w:rsidP="000666BD">
      <w:pPr>
        <w:pStyle w:val="ConsPlusTitle"/>
        <w:jc w:val="center"/>
      </w:pPr>
    </w:p>
    <w:p w:rsidR="00D850FB" w:rsidRPr="001F3467" w:rsidRDefault="00D850FB" w:rsidP="000666BD">
      <w:pPr>
        <w:pStyle w:val="ConsPlusTitle"/>
        <w:jc w:val="center"/>
      </w:pPr>
      <w:r w:rsidRPr="001F3467">
        <w:t>Положение о создании условий</w:t>
      </w:r>
      <w:r w:rsidR="000666BD" w:rsidRPr="001F3467">
        <w:t xml:space="preserve"> </w:t>
      </w:r>
      <w:r w:rsidRPr="001F3467">
        <w:t>для присмотра и ухода за детьми, содержания детей дошкольного возраста в муниципальных образовательных организациях муниципального образования Воловский район,</w:t>
      </w:r>
      <w:r w:rsidR="000666BD" w:rsidRPr="001F3467">
        <w:t xml:space="preserve"> </w:t>
      </w:r>
      <w:r w:rsidRPr="001F3467">
        <w:t>реализующих основную общеобразовательную программу дошкольного образования</w:t>
      </w:r>
    </w:p>
    <w:p w:rsidR="00D850FB" w:rsidRPr="001F3467" w:rsidRDefault="00D850FB" w:rsidP="000666BD">
      <w:pPr>
        <w:pStyle w:val="ConsPlusNormal"/>
        <w:jc w:val="center"/>
        <w:outlineLvl w:val="1"/>
        <w:rPr>
          <w:rFonts w:ascii="Arial" w:hAnsi="Arial" w:cs="Arial"/>
        </w:rPr>
      </w:pPr>
    </w:p>
    <w:p w:rsidR="00D850FB" w:rsidRPr="001F3467" w:rsidRDefault="00D850FB" w:rsidP="000666BD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1F3467">
        <w:rPr>
          <w:rFonts w:ascii="Arial" w:hAnsi="Arial" w:cs="Arial"/>
          <w:b/>
        </w:rPr>
        <w:t>1. Общие положения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1.1. </w:t>
      </w:r>
      <w:proofErr w:type="gramStart"/>
      <w:r w:rsidRPr="001F3467">
        <w:rPr>
          <w:rFonts w:ascii="Arial" w:hAnsi="Arial" w:cs="Arial"/>
        </w:rPr>
        <w:t>Настоящее Положение о создании условий для осуществления присмотра и ухода за детьми, содержания детей дошкольного возраста в муниципальных образовательных организациях муниципального образования Воловский район, реализующих основную общеобразовательную программу дошкольного образования (далее - Положение), разработано в соответствии с Федеральными законами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Постановлением Главного</w:t>
      </w:r>
      <w:proofErr w:type="gramEnd"/>
      <w:r w:rsidRPr="001F3467">
        <w:rPr>
          <w:rFonts w:ascii="Arial" w:hAnsi="Arial" w:cs="Arial"/>
        </w:rPr>
        <w:t xml:space="preserve">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иными нормативными правовыми актами.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1.2. Положение регулирует порядок создания условий для осуществления присмотра и ухода за детьми, содержания детей дошкольного возраста в муниципальных образовательных организациях муниципального образования Воловский район, реализующих основную общеобразовательную программу дошкольного образования.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1.3. Услуга по присмотру и уходу за детьми, содержанию детей дошкольного возраста предоставляется муниципальными образовательными организациями Воловского района, реализующими основную общеобразовательную программу дошкольного образования, подведомственными комитету образования администрации муниципального образования Воловский район.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1.4. Муниципальные образовательные организации, реализующие основную общеобразовательную программу дошкольного образования, обеспечивают присмотр и уход, содержание воспитанников в возрасте от 2 лет (возраст приема определяется Уставом организации) до прекращения образовательных отношений.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1.5. Под присмотром и уходом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D850FB" w:rsidRPr="001F3467" w:rsidRDefault="00D850FB" w:rsidP="000666BD">
      <w:pPr>
        <w:pStyle w:val="ConsPlusTitle"/>
        <w:ind w:firstLine="709"/>
        <w:jc w:val="both"/>
        <w:rPr>
          <w:b w:val="0"/>
        </w:rPr>
      </w:pPr>
      <w:r w:rsidRPr="001F3467">
        <w:rPr>
          <w:b w:val="0"/>
        </w:rPr>
        <w:t>1.6. Присмотр и уход за детьми осуществляется в соответствии с действующими санитарно-эпидемиологическими правилами и нормативами и требованиями иных нормативных правовых актов.</w:t>
      </w:r>
    </w:p>
    <w:p w:rsidR="00D850FB" w:rsidRPr="001F3467" w:rsidRDefault="00D850FB" w:rsidP="000666BD">
      <w:pPr>
        <w:pStyle w:val="ConsPlusNormal"/>
        <w:jc w:val="center"/>
        <w:outlineLvl w:val="1"/>
        <w:rPr>
          <w:rFonts w:ascii="Arial" w:hAnsi="Arial" w:cs="Arial"/>
        </w:rPr>
      </w:pPr>
    </w:p>
    <w:p w:rsidR="00D850FB" w:rsidRPr="001F3467" w:rsidRDefault="00D850FB" w:rsidP="000666BD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1F3467">
        <w:rPr>
          <w:rFonts w:ascii="Arial" w:hAnsi="Arial" w:cs="Arial"/>
          <w:b/>
        </w:rPr>
        <w:t>2. Требования к созданию условий для осуществления</w:t>
      </w:r>
    </w:p>
    <w:p w:rsidR="00D850FB" w:rsidRPr="001F3467" w:rsidRDefault="00D850FB" w:rsidP="000666BD">
      <w:pPr>
        <w:pStyle w:val="ConsPlusNormal"/>
        <w:jc w:val="center"/>
        <w:rPr>
          <w:rFonts w:ascii="Arial" w:hAnsi="Arial" w:cs="Arial"/>
          <w:b/>
        </w:rPr>
      </w:pPr>
      <w:r w:rsidRPr="001F3467">
        <w:rPr>
          <w:rFonts w:ascii="Arial" w:hAnsi="Arial" w:cs="Arial"/>
          <w:b/>
        </w:rPr>
        <w:t>присмотра и ухода за детьми, содержания детей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2.1. Присмотр и уход за детьми, содержание детей в образовательных учреждениях осуществляется при наличии установленных законодательством </w:t>
      </w:r>
      <w:r w:rsidRPr="001F3467">
        <w:rPr>
          <w:rFonts w:ascii="Arial" w:hAnsi="Arial" w:cs="Arial"/>
        </w:rPr>
        <w:lastRenderedPageBreak/>
        <w:t>санитарно-гигиенических, противоэпидемических условий, соблюдении правил пожарной безопасности, кадрового обеспечения.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2.2. </w:t>
      </w:r>
      <w:proofErr w:type="gramStart"/>
      <w:r w:rsidRPr="001F3467">
        <w:rPr>
          <w:rFonts w:ascii="Arial" w:hAnsi="Arial" w:cs="Arial"/>
        </w:rPr>
        <w:t>Здания образовательных организаций, реализующих основную общеобразовательную программу дошкольного образования (далее - образовательные учреждения),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proofErr w:type="gramEnd"/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2.3. Образовательные учреждения должны быть обеспечены всеми средствами коммунально-бытового обслуживания и оснащены телефонной связью.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2.4. Требования к местам осуществления присмотра и ухода за детьми, содержания детей в образовательных организациях, реализующих основную общеобразовательную программу дошкольного образования: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групповые ячейки - изолированные помещения для каждой детской группы.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 (если предусмотрено проектом), буфетная (для подготовки готовых блюд к раздаче и мытья столовой посуды), туалетная (совмещенная с умывальной);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дополнительные помещения для занятий с детьми (если предусмотрено проектом), предназначенные для поочередного использования всеми или несколькими детскими группами (музыкальный зал, физкультурный зал, кабинет логопеда и другие);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сопутствующие помещения (медицинский блок, пищеблок, прачечная и т.д.);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служебно-бытового назначения для персонала учреждения.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Указанные помещения образовательных учреждений должны отвечать санитарно-эпидемиологическим требованиям, обеспечивающим условия для разных видов двигательной, игровой и умственной активности детей; отвечать требованиям СанПиН, правилам противопожарной безопасности; должны быть 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2.5. Режим работы учреждений определяется Уставом, в соответствии с действующим законодательством. Длительность рабочего дня регламентируется Уставом учреждения.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2.6. Требования к специальному и техническому оснащению образовательных организаций, реализующих основную общеобразовательную программу дошкольного образования.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2.6.1. Каждое образовательное учреждение должно быть оснащено необходимым оборудованием, отвечающим требованиям стандартов, технических условий, других нормативных документов, обеспечивающим надлежащее качество предоставляемых услуг.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2.6.2. 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Периодичность проверки оборудования определяется его эксплуатационными документами либо (при отсутствии четкого указания данного </w:t>
      </w:r>
      <w:r w:rsidRPr="001F3467">
        <w:rPr>
          <w:rFonts w:ascii="Arial" w:hAnsi="Arial" w:cs="Arial"/>
        </w:rPr>
        <w:lastRenderedPageBreak/>
        <w:t>параметра в эксплуатационных документах) документом, регламентирующим работу учреждения.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2.6.3. Неисправное оборудование должно быть заменено, отремонтировано (если они подлежат ремонту) или изъято из эксплуатации. Пригодность к эксплуатации отремонтированного оборудования подтверждается проверкой.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2.7. Требования к укомплектованности учреждений специалистами и их квалификации.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2.7.1. Образовательные учреждения должны располагать необходимым количеством специалистов в соответствии со штатным расписанием.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2.7.2. Право на занятие педагогической деятельностью имеют лица, имеющие профессиональное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2.7.3. Право на занятие иных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2.7.4. К педагогической деятельности не допускаются лица: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1F3467">
        <w:rPr>
          <w:rFonts w:ascii="Arial" w:hAnsi="Arial" w:cs="Arial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1F3467">
        <w:rPr>
          <w:rFonts w:ascii="Arial" w:hAnsi="Arial" w:cs="Arial"/>
        </w:rPr>
        <w:t xml:space="preserve"> и безопасности государства, а также против общественной безопасности;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1F3467">
        <w:rPr>
          <w:rFonts w:ascii="Arial" w:hAnsi="Arial" w:cs="Arial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- </w:t>
      </w:r>
      <w:proofErr w:type="gramStart"/>
      <w:r w:rsidRPr="001F3467">
        <w:rPr>
          <w:rFonts w:ascii="Arial" w:hAnsi="Arial" w:cs="Arial"/>
        </w:rPr>
        <w:t>признанные</w:t>
      </w:r>
      <w:proofErr w:type="gramEnd"/>
      <w:r w:rsidRPr="001F3467">
        <w:rPr>
          <w:rFonts w:ascii="Arial" w:hAnsi="Arial" w:cs="Arial"/>
        </w:rPr>
        <w:t xml:space="preserve"> недееспособными в установленном федеральным законом порядке;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1F3467">
        <w:rPr>
          <w:rFonts w:ascii="Arial" w:hAnsi="Arial" w:cs="Arial"/>
        </w:rPr>
        <w:t>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</w:t>
      </w:r>
      <w:proofErr w:type="gramEnd"/>
      <w:r w:rsidRPr="001F3467">
        <w:rPr>
          <w:rFonts w:ascii="Arial" w:hAnsi="Arial" w:cs="Arial"/>
        </w:rPr>
        <w:t xml:space="preserve">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2.7.5. Предоставление услуги осуществляет следующий персонал: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административный персонал (заведующий учреждением, заместитель заведующего и т.д.);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lastRenderedPageBreak/>
        <w:t>- педагогический персонал (старшие воспитатели, воспитатели и т.д.);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младший обслуживающий персонал (младшие воспитатели).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При наличии организационной и финансовой возможности штатное расписание учреждения может включать в себя и другие виды персонала.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2.8. Персонал дошкольных образовательных учреждений проходит предварительные, при поступлении на работу, и периодические медицинские осмотры в установленном законодательством порядке.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2.9. Медицинское обслуживание детей должно обеспечиваться специально закрепленным органами здравоохранения за дошкольными учреждениями медицинским персоналом, который наряду с руководством дошкольного учреждения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2.10. Образовательное учреждение должно обеспечить сбалансированное питание детей по нормам, утвержденным действующим законодательством.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Питание должно удовлетворять физиологическим потребностям детей в основных пищевых веществах и энергии.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Питание воспитанников осуществляется по утвержденному меню, согласно нормам действующих СанПиН.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Кратность приема пищи определяется длительностью пребывания ребенка в организации и режимом работы учреждения.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Приготовление пищи для детей осуществляется в помещении пищеблока (кухни), устройство, оборудование и содержание которого должны соответствовать требованиям СанПиН.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2.11. Порядок приема воспитанников в учреждения определяется законодательством, административным регламентом предоставления муниципальной услуги по приему заявлений, постановке на учет и зачислению детей в образовательные учреждения, реализующие основную общеобразовательную программу дошкольного образования, Уставом учреждения.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2.12. За присмотр и уход за детьми в образовательных организациях, реализующих основную общеобразовательную программу дошкольного образования, учредить устанавливает плату и ее размер, взимаемую с родителей (законных представителей). С родителей (законных представителей), имеющих детей-инвалидов, детей-сирот и детей, оставшихся без попечения родителей, а также детей с туберкулезной интоксикацией, родительская плата не взимается.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2.13. </w:t>
      </w:r>
      <w:proofErr w:type="gramStart"/>
      <w:r w:rsidRPr="001F3467">
        <w:rPr>
          <w:rFonts w:ascii="Arial" w:hAnsi="Arial" w:cs="Arial"/>
        </w:rPr>
        <w:t>В целях материальной поддержки воспитания и обучения детей, посещающих образовательные организации, реализующие основную общеобразовательную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Тульской области, но не менее двадцати процентов среднего размера родительской платы за присмотр и уход на первого ребенка, не менее пятидесяти процентов размера такой платы на второго ребенка, не менее семидесяти процентов</w:t>
      </w:r>
      <w:proofErr w:type="gramEnd"/>
      <w:r w:rsidRPr="001F3467">
        <w:rPr>
          <w:rFonts w:ascii="Arial" w:hAnsi="Arial" w:cs="Arial"/>
        </w:rPr>
        <w:t xml:space="preserve"> размера такой платы на третьего ребенка и последующих детей. Средний размер родительской платы за присмотр и уход за детьми в образовательных организациях </w:t>
      </w:r>
      <w:r w:rsidR="0065144A" w:rsidRPr="001F3467">
        <w:rPr>
          <w:rFonts w:ascii="Arial" w:hAnsi="Arial" w:cs="Arial"/>
        </w:rPr>
        <w:t>Волов</w:t>
      </w:r>
      <w:r w:rsidRPr="001F3467">
        <w:rPr>
          <w:rFonts w:ascii="Arial" w:hAnsi="Arial" w:cs="Arial"/>
        </w:rPr>
        <w:t>ского района не может быть выше ее максимального размера, устанавливаемого постановлением правительства Тульской области.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2.14. Порядок обращения за получением компенсации и порядок ее выплаты устанавливаются органами государственной власти Тульской области.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lastRenderedPageBreak/>
        <w:t>2.15. Взаимоотношения между образовательной организацией и родителями (законными представителями) детей дошкольного возраста регулируются договором об образовании, включающим в себя взаимные права, обязанности и ответственность сторон, возникающие в процессе оказания услуги, длительность пребывания ребенка по месту оказания услуги, размер платы, взимаемой с родителей (законных представителей).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2.16. Основными требованиями результата создания условий для осуществления присмотра и ухода за детьми, содержания детей в образовательных организациях муниципального образования </w:t>
      </w:r>
      <w:r w:rsidR="0065144A" w:rsidRPr="001F3467">
        <w:rPr>
          <w:rFonts w:ascii="Arial" w:hAnsi="Arial" w:cs="Arial"/>
        </w:rPr>
        <w:t>Волов</w:t>
      </w:r>
      <w:r w:rsidRPr="001F3467">
        <w:rPr>
          <w:rFonts w:ascii="Arial" w:hAnsi="Arial" w:cs="Arial"/>
        </w:rPr>
        <w:t>ский район являются: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соответствие условий для осуществления присмотра и ухода за детьми, содержания детей в организациях необходимым требованиям;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отсутствие жалоб со стороны родителей (законных представителей).</w:t>
      </w:r>
    </w:p>
    <w:p w:rsidR="00D850FB" w:rsidRPr="001F3467" w:rsidRDefault="00D850FB" w:rsidP="000666BD">
      <w:pPr>
        <w:pStyle w:val="ConsPlusNormal"/>
        <w:rPr>
          <w:rFonts w:ascii="Arial" w:hAnsi="Arial" w:cs="Arial"/>
        </w:rPr>
      </w:pPr>
    </w:p>
    <w:p w:rsidR="00D850FB" w:rsidRPr="001F3467" w:rsidRDefault="00D850FB" w:rsidP="000666BD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1F3467">
        <w:rPr>
          <w:rFonts w:ascii="Arial" w:hAnsi="Arial" w:cs="Arial"/>
          <w:b/>
        </w:rPr>
        <w:t>3. Заключительные положения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3.1. Действия (бездействие) должностных лиц, а также принятые ими решения по созданию условий для осуществления присмотра и ухода за детьми, содержания детей в образовательных организациях, реализующих основную общеобразовательную программу дошкольного образования, в муниципальном образовании </w:t>
      </w:r>
      <w:r w:rsidR="0065144A" w:rsidRPr="001F3467">
        <w:rPr>
          <w:rFonts w:ascii="Arial" w:hAnsi="Arial" w:cs="Arial"/>
        </w:rPr>
        <w:t>Волов</w:t>
      </w:r>
      <w:r w:rsidRPr="001F3467">
        <w:rPr>
          <w:rFonts w:ascii="Arial" w:hAnsi="Arial" w:cs="Arial"/>
        </w:rPr>
        <w:t>ский район могут быть обжалованы в соответствии с действующим законодательством.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3.2. Ответственность за создание условий для осуществления присмотра и ухода за детьми, содержания детей в образовательных организациях, реализующих основную общеобразовательную программу дошкольного образования, в муниципальном образовании </w:t>
      </w:r>
      <w:r w:rsidR="0065144A" w:rsidRPr="001F3467">
        <w:rPr>
          <w:rFonts w:ascii="Arial" w:hAnsi="Arial" w:cs="Arial"/>
        </w:rPr>
        <w:t>Волов</w:t>
      </w:r>
      <w:r w:rsidRPr="001F3467">
        <w:rPr>
          <w:rFonts w:ascii="Arial" w:hAnsi="Arial" w:cs="Arial"/>
        </w:rPr>
        <w:t>ский район возлагается на руководителей муниципальных образовательных учреждений.</w:t>
      </w:r>
    </w:p>
    <w:p w:rsidR="00D850FB" w:rsidRPr="001F3467" w:rsidRDefault="00715132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3.3. Контроль н</w:t>
      </w:r>
      <w:r w:rsidR="00D850FB" w:rsidRPr="001F3467">
        <w:rPr>
          <w:rFonts w:ascii="Arial" w:hAnsi="Arial" w:cs="Arial"/>
        </w:rPr>
        <w:t>а</w:t>
      </w:r>
      <w:r w:rsidRPr="001F3467">
        <w:rPr>
          <w:rFonts w:ascii="Arial" w:hAnsi="Arial" w:cs="Arial"/>
        </w:rPr>
        <w:t>д</w:t>
      </w:r>
      <w:r w:rsidR="00D850FB" w:rsidRPr="001F3467">
        <w:rPr>
          <w:rFonts w:ascii="Arial" w:hAnsi="Arial" w:cs="Arial"/>
        </w:rPr>
        <w:t xml:space="preserve"> соблюдением качества муниципальной услуги по присмотру и уходу, содержанию детей в образовательных учреждениях возлагается на комитет по образованию администрации муниципального образования </w:t>
      </w:r>
      <w:r w:rsidR="0065144A" w:rsidRPr="001F3467">
        <w:rPr>
          <w:rFonts w:ascii="Arial" w:hAnsi="Arial" w:cs="Arial"/>
        </w:rPr>
        <w:t>Волов</w:t>
      </w:r>
      <w:r w:rsidR="00D850FB" w:rsidRPr="001F3467">
        <w:rPr>
          <w:rFonts w:ascii="Arial" w:hAnsi="Arial" w:cs="Arial"/>
        </w:rPr>
        <w:t>ский район.</w:t>
      </w:r>
    </w:p>
    <w:p w:rsidR="0065144A" w:rsidRPr="001F3467" w:rsidRDefault="0065144A" w:rsidP="000666BD">
      <w:pPr>
        <w:pStyle w:val="ConsPlusNormal"/>
        <w:ind w:firstLine="540"/>
        <w:jc w:val="both"/>
        <w:rPr>
          <w:rFonts w:ascii="Arial" w:hAnsi="Arial" w:cs="Arial"/>
        </w:rPr>
      </w:pPr>
    </w:p>
    <w:p w:rsidR="00715132" w:rsidRPr="001F3467" w:rsidRDefault="00715132" w:rsidP="000666BD">
      <w:pPr>
        <w:pStyle w:val="ConsPlusNormal"/>
        <w:ind w:firstLine="540"/>
        <w:jc w:val="both"/>
        <w:rPr>
          <w:rFonts w:ascii="Arial" w:hAnsi="Arial" w:cs="Arial"/>
        </w:rPr>
      </w:pPr>
    </w:p>
    <w:p w:rsidR="0065144A" w:rsidRPr="001F3467" w:rsidRDefault="0065144A" w:rsidP="00715132">
      <w:pPr>
        <w:pStyle w:val="ConsPlusNormal"/>
        <w:rPr>
          <w:rFonts w:ascii="Arial" w:hAnsi="Arial" w:cs="Arial"/>
          <w:b/>
        </w:rPr>
      </w:pPr>
    </w:p>
    <w:sectPr w:rsidR="0065144A" w:rsidRPr="001F3467" w:rsidSect="003C6AF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F5" w:rsidRDefault="000848F5" w:rsidP="003C6AF1">
      <w:r>
        <w:separator/>
      </w:r>
    </w:p>
  </w:endnote>
  <w:endnote w:type="continuationSeparator" w:id="0">
    <w:p w:rsidR="000848F5" w:rsidRDefault="000848F5" w:rsidP="003C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F5" w:rsidRDefault="000848F5" w:rsidP="003C6AF1">
      <w:r>
        <w:separator/>
      </w:r>
    </w:p>
  </w:footnote>
  <w:footnote w:type="continuationSeparator" w:id="0">
    <w:p w:rsidR="000848F5" w:rsidRDefault="000848F5" w:rsidP="003C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786103"/>
      <w:docPartObj>
        <w:docPartGallery w:val="Page Numbers (Top of Page)"/>
        <w:docPartUnique/>
      </w:docPartObj>
    </w:sdtPr>
    <w:sdtEndPr/>
    <w:sdtContent>
      <w:p w:rsidR="003C6AF1" w:rsidRDefault="007B540E" w:rsidP="000666BD">
        <w:pPr>
          <w:pStyle w:val="a4"/>
          <w:jc w:val="center"/>
        </w:pPr>
        <w:r>
          <w:fldChar w:fldCharType="begin"/>
        </w:r>
        <w:r w:rsidR="003C6AF1">
          <w:instrText>PAGE   \* MERGEFORMAT</w:instrText>
        </w:r>
        <w:r>
          <w:fldChar w:fldCharType="separate"/>
        </w:r>
        <w:r w:rsidR="00EF6194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0FB"/>
    <w:rsid w:val="000618A1"/>
    <w:rsid w:val="00061E91"/>
    <w:rsid w:val="000666BD"/>
    <w:rsid w:val="000848F5"/>
    <w:rsid w:val="00143094"/>
    <w:rsid w:val="00156302"/>
    <w:rsid w:val="001F3467"/>
    <w:rsid w:val="002148EB"/>
    <w:rsid w:val="002219A0"/>
    <w:rsid w:val="003C6AF1"/>
    <w:rsid w:val="0050675B"/>
    <w:rsid w:val="0065144A"/>
    <w:rsid w:val="00715132"/>
    <w:rsid w:val="007B540E"/>
    <w:rsid w:val="007C3D98"/>
    <w:rsid w:val="0083697C"/>
    <w:rsid w:val="008D175F"/>
    <w:rsid w:val="00CE2F6D"/>
    <w:rsid w:val="00D850FB"/>
    <w:rsid w:val="00E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50FB"/>
    <w:rPr>
      <w:color w:val="0000FF" w:themeColor="hyperlink"/>
      <w:u w:val="single"/>
    </w:rPr>
  </w:style>
  <w:style w:type="paragraph" w:customStyle="1" w:styleId="ConsPlusNormal">
    <w:name w:val="ConsPlusNormal"/>
    <w:rsid w:val="00D85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6A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6A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1E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50FB"/>
    <w:rPr>
      <w:color w:val="0000FF" w:themeColor="hyperlink"/>
      <w:u w:val="single"/>
    </w:rPr>
  </w:style>
  <w:style w:type="paragraph" w:customStyle="1" w:styleId="ConsPlusNormal">
    <w:name w:val="ConsPlusNormal"/>
    <w:rsid w:val="00D85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6A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6A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1E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E3DB-A682-41DF-AA92-B48F1743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2019-01-21T14:27:00Z</cp:lastPrinted>
  <dcterms:created xsi:type="dcterms:W3CDTF">2019-01-25T12:22:00Z</dcterms:created>
  <dcterms:modified xsi:type="dcterms:W3CDTF">2019-01-25T12:22:00Z</dcterms:modified>
</cp:coreProperties>
</file>